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1D7" w:rsidRDefault="008B717D" w:rsidP="00C7232D">
      <w:pPr>
        <w:autoSpaceDE w:val="0"/>
        <w:autoSpaceDN w:val="0"/>
        <w:adjustRightInd w:val="0"/>
        <w:jc w:val="center"/>
        <w:rPr>
          <w:b/>
        </w:rPr>
      </w:pPr>
      <w:bookmarkStart w:id="0" w:name="_GoBack"/>
      <w:bookmarkEnd w:id="0"/>
      <w:r>
        <w:rPr>
          <w:noProof/>
          <w:sz w:val="20"/>
          <w:szCs w:val="20"/>
        </w:rPr>
        <w:drawing>
          <wp:inline distT="0" distB="0" distL="0" distR="0">
            <wp:extent cx="1031240" cy="1257935"/>
            <wp:effectExtent l="0" t="0" r="0" b="0"/>
            <wp:docPr id="1" name="il_fi" descr="http://www.lrwc.org/ws/wp-content/uploads/2012/11/OHCH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rwc.org/ws/wp-content/uploads/2012/11/OHCHR-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31240" cy="1257935"/>
                    </a:xfrm>
                    <a:prstGeom prst="rect">
                      <a:avLst/>
                    </a:prstGeom>
                    <a:noFill/>
                    <a:ln>
                      <a:noFill/>
                    </a:ln>
                  </pic:spPr>
                </pic:pic>
              </a:graphicData>
            </a:graphic>
          </wp:inline>
        </w:drawing>
      </w:r>
    </w:p>
    <w:p w:rsidR="00D201D7" w:rsidRDefault="00D201D7" w:rsidP="00C7232D">
      <w:pPr>
        <w:autoSpaceDE w:val="0"/>
        <w:autoSpaceDN w:val="0"/>
        <w:adjustRightInd w:val="0"/>
        <w:jc w:val="center"/>
        <w:rPr>
          <w:b/>
        </w:rPr>
      </w:pPr>
    </w:p>
    <w:p w:rsidR="00F0684F" w:rsidRPr="00D201D7" w:rsidRDefault="009E55F3" w:rsidP="00D201D7">
      <w:pPr>
        <w:autoSpaceDE w:val="0"/>
        <w:autoSpaceDN w:val="0"/>
        <w:adjustRightInd w:val="0"/>
        <w:jc w:val="center"/>
        <w:rPr>
          <w:b/>
          <w:caps/>
        </w:rPr>
      </w:pPr>
      <w:r w:rsidRPr="00D201D7">
        <w:rPr>
          <w:b/>
          <w:caps/>
        </w:rPr>
        <w:t>Technical Note</w:t>
      </w:r>
      <w:r w:rsidR="00D201D7" w:rsidRPr="00D201D7">
        <w:rPr>
          <w:b/>
          <w:caps/>
        </w:rPr>
        <w:t xml:space="preserve"> on </w:t>
      </w:r>
      <w:r w:rsidR="00D201D7">
        <w:rPr>
          <w:b/>
          <w:caps/>
        </w:rPr>
        <w:t>International law</w:t>
      </w:r>
      <w:r w:rsidR="00C7232D" w:rsidRPr="00D201D7">
        <w:rPr>
          <w:b/>
          <w:caps/>
        </w:rPr>
        <w:t xml:space="preserve"> and UN Policy Regulating Amnesties</w:t>
      </w:r>
    </w:p>
    <w:p w:rsidR="00D201D7" w:rsidRDefault="00D201D7" w:rsidP="00D201D7">
      <w:pPr>
        <w:autoSpaceDE w:val="0"/>
        <w:autoSpaceDN w:val="0"/>
        <w:adjustRightInd w:val="0"/>
        <w:jc w:val="center"/>
        <w:rPr>
          <w:b/>
        </w:rPr>
      </w:pPr>
    </w:p>
    <w:p w:rsidR="00D201D7" w:rsidRDefault="00D201D7" w:rsidP="00D201D7">
      <w:pPr>
        <w:autoSpaceDE w:val="0"/>
        <w:autoSpaceDN w:val="0"/>
        <w:adjustRightInd w:val="0"/>
        <w:jc w:val="center"/>
        <w:rPr>
          <w:b/>
        </w:rPr>
      </w:pPr>
      <w:r>
        <w:rPr>
          <w:b/>
        </w:rPr>
        <w:t>Prepared by</w:t>
      </w:r>
    </w:p>
    <w:p w:rsidR="00D201D7" w:rsidRDefault="00D201D7" w:rsidP="00D201D7">
      <w:pPr>
        <w:autoSpaceDE w:val="0"/>
        <w:autoSpaceDN w:val="0"/>
        <w:adjustRightInd w:val="0"/>
        <w:jc w:val="center"/>
        <w:rPr>
          <w:b/>
        </w:rPr>
      </w:pPr>
    </w:p>
    <w:p w:rsidR="00D201D7" w:rsidRPr="00C7232D" w:rsidRDefault="00D201D7" w:rsidP="00D201D7">
      <w:pPr>
        <w:autoSpaceDE w:val="0"/>
        <w:autoSpaceDN w:val="0"/>
        <w:adjustRightInd w:val="0"/>
        <w:jc w:val="center"/>
        <w:rPr>
          <w:b/>
        </w:rPr>
      </w:pPr>
      <w:r>
        <w:rPr>
          <w:b/>
        </w:rPr>
        <w:t>United Nations Office of the High Commissioner for Human Rights</w:t>
      </w:r>
    </w:p>
    <w:p w:rsidR="00F0684F" w:rsidRPr="005049E9" w:rsidRDefault="00F0684F" w:rsidP="005049E9">
      <w:pPr>
        <w:autoSpaceDE w:val="0"/>
        <w:autoSpaceDN w:val="0"/>
        <w:adjustRightInd w:val="0"/>
        <w:jc w:val="both"/>
      </w:pPr>
    </w:p>
    <w:p w:rsidR="00F0684F" w:rsidRDefault="00C7232D" w:rsidP="00CD5DD9">
      <w:pPr>
        <w:autoSpaceDE w:val="0"/>
        <w:autoSpaceDN w:val="0"/>
        <w:adjustRightInd w:val="0"/>
        <w:jc w:val="both"/>
      </w:pPr>
      <w:r>
        <w:t>The present</w:t>
      </w:r>
      <w:r w:rsidR="00F0684F" w:rsidRPr="005049E9">
        <w:t xml:space="preserve"> technical note aims at informing </w:t>
      </w:r>
      <w:r>
        <w:t xml:space="preserve">the current debate </w:t>
      </w:r>
      <w:r w:rsidR="00D201D7">
        <w:t xml:space="preserve">in Thailand </w:t>
      </w:r>
      <w:r>
        <w:t xml:space="preserve">on the </w:t>
      </w:r>
      <w:r w:rsidR="00D201D7">
        <w:t xml:space="preserve">draft </w:t>
      </w:r>
      <w:r>
        <w:t>Amnesty Bill</w:t>
      </w:r>
      <w:r w:rsidR="001A341B">
        <w:t xml:space="preserve"> by setting out the relevant international law and U</w:t>
      </w:r>
      <w:r w:rsidR="00A33570">
        <w:t xml:space="preserve">nited </w:t>
      </w:r>
      <w:r w:rsidR="001A341B">
        <w:t>N</w:t>
      </w:r>
      <w:r w:rsidR="00A33570">
        <w:t xml:space="preserve">ations </w:t>
      </w:r>
      <w:r w:rsidR="001A341B">
        <w:t>policy on amnesties.</w:t>
      </w:r>
    </w:p>
    <w:p w:rsidR="005F2D56" w:rsidRDefault="005F2D56" w:rsidP="00CD5DD9">
      <w:pPr>
        <w:autoSpaceDE w:val="0"/>
        <w:autoSpaceDN w:val="0"/>
        <w:adjustRightInd w:val="0"/>
        <w:jc w:val="both"/>
      </w:pPr>
    </w:p>
    <w:p w:rsidR="00CF20D1" w:rsidRDefault="00B13BD7" w:rsidP="00CD5DD9">
      <w:pPr>
        <w:autoSpaceDE w:val="0"/>
        <w:autoSpaceDN w:val="0"/>
        <w:adjustRightInd w:val="0"/>
        <w:jc w:val="both"/>
        <w:rPr>
          <w:color w:val="auto"/>
          <w:lang w:val="en-GB" w:eastAsia="en-GB"/>
        </w:rPr>
      </w:pPr>
      <w:r>
        <w:t>A</w:t>
      </w:r>
      <w:r w:rsidRPr="006E0733">
        <w:t xml:space="preserve">ny legal measure that </w:t>
      </w:r>
      <w:r w:rsidRPr="00F62D41">
        <w:rPr>
          <w:color w:val="auto"/>
          <w:lang w:val="en-GB" w:eastAsia="en-GB"/>
        </w:rPr>
        <w:t>ha</w:t>
      </w:r>
      <w:r w:rsidR="00CF20D1">
        <w:rPr>
          <w:color w:val="auto"/>
          <w:lang w:val="en-GB" w:eastAsia="en-GB"/>
        </w:rPr>
        <w:t>s</w:t>
      </w:r>
      <w:r w:rsidRPr="00F62D41">
        <w:rPr>
          <w:color w:val="auto"/>
          <w:lang w:val="en-GB" w:eastAsia="en-GB"/>
        </w:rPr>
        <w:t xml:space="preserve"> the effect of prospectively barring criminal prosecution and, in some cases, civil actions against certain individuals or categories of individuals in respect of specified criminal conduct or retroactively nullifying legal liability previously established</w:t>
      </w:r>
      <w:r w:rsidR="003B38AC">
        <w:rPr>
          <w:color w:val="auto"/>
          <w:lang w:val="en-GB" w:eastAsia="en-GB"/>
        </w:rPr>
        <w:t>,</w:t>
      </w:r>
      <w:r w:rsidRPr="00F62D41">
        <w:rPr>
          <w:color w:val="auto"/>
          <w:lang w:val="en-GB" w:eastAsia="en-GB"/>
        </w:rPr>
        <w:t xml:space="preserve"> is considered as an amnesty</w:t>
      </w:r>
      <w:r w:rsidR="00CF20D1">
        <w:rPr>
          <w:color w:val="auto"/>
          <w:lang w:val="en-GB" w:eastAsia="en-GB"/>
        </w:rPr>
        <w:t>.</w:t>
      </w:r>
    </w:p>
    <w:p w:rsidR="003B38AC" w:rsidRPr="005049E9" w:rsidRDefault="003B38AC" w:rsidP="00CD5DD9">
      <w:pPr>
        <w:autoSpaceDE w:val="0"/>
        <w:autoSpaceDN w:val="0"/>
        <w:adjustRightInd w:val="0"/>
        <w:jc w:val="both"/>
      </w:pPr>
    </w:p>
    <w:p w:rsidR="00BB6666" w:rsidRPr="002D7546" w:rsidRDefault="006243FA" w:rsidP="00CD5DD9">
      <w:pPr>
        <w:autoSpaceDE w:val="0"/>
        <w:autoSpaceDN w:val="0"/>
        <w:adjustRightInd w:val="0"/>
        <w:jc w:val="both"/>
        <w:rPr>
          <w:bCs/>
        </w:rPr>
      </w:pPr>
      <w:r>
        <w:rPr>
          <w:lang w:val="en-GB"/>
        </w:rPr>
        <w:t>I</w:t>
      </w:r>
      <w:r w:rsidR="002D7546" w:rsidRPr="002D7546">
        <w:rPr>
          <w:lang w:val="en-GB"/>
        </w:rPr>
        <w:t xml:space="preserve">nternational law </w:t>
      </w:r>
      <w:r>
        <w:rPr>
          <w:lang w:val="en-GB"/>
        </w:rPr>
        <w:t>and</w:t>
      </w:r>
      <w:r w:rsidRPr="002D7546">
        <w:rPr>
          <w:lang w:val="en-GB"/>
        </w:rPr>
        <w:t xml:space="preserve"> </w:t>
      </w:r>
      <w:r w:rsidR="002D7546" w:rsidRPr="002D7546">
        <w:rPr>
          <w:lang w:val="en-GB"/>
        </w:rPr>
        <w:t>U</w:t>
      </w:r>
      <w:r w:rsidR="005148A6">
        <w:rPr>
          <w:lang w:val="en-GB"/>
        </w:rPr>
        <w:t xml:space="preserve">nited </w:t>
      </w:r>
      <w:r w:rsidR="002D7546" w:rsidRPr="002D7546">
        <w:rPr>
          <w:lang w:val="en-GB"/>
        </w:rPr>
        <w:t>N</w:t>
      </w:r>
      <w:r w:rsidR="005148A6">
        <w:rPr>
          <w:lang w:val="en-GB"/>
        </w:rPr>
        <w:t>ations</w:t>
      </w:r>
      <w:r w:rsidR="002D7546" w:rsidRPr="002D7546">
        <w:rPr>
          <w:lang w:val="en-GB"/>
        </w:rPr>
        <w:t xml:space="preserve"> policy </w:t>
      </w:r>
      <w:r>
        <w:rPr>
          <w:lang w:val="en-GB"/>
        </w:rPr>
        <w:t xml:space="preserve">do not </w:t>
      </w:r>
      <w:r w:rsidR="002D7546" w:rsidRPr="002D7546">
        <w:rPr>
          <w:lang w:val="en-GB"/>
        </w:rPr>
        <w:t xml:space="preserve">oppose </w:t>
      </w:r>
      <w:r w:rsidR="000E1861">
        <w:rPr>
          <w:lang w:val="en-GB"/>
        </w:rPr>
        <w:t xml:space="preserve">the granting of </w:t>
      </w:r>
      <w:r w:rsidR="002D7546" w:rsidRPr="002D7546">
        <w:rPr>
          <w:lang w:val="en-GB"/>
        </w:rPr>
        <w:t>amnesties</w:t>
      </w:r>
      <w:r w:rsidR="006C122C">
        <w:rPr>
          <w:lang w:val="en-GB"/>
        </w:rPr>
        <w:t xml:space="preserve"> per se</w:t>
      </w:r>
      <w:r w:rsidR="002D7546" w:rsidRPr="002D7546">
        <w:rPr>
          <w:lang w:val="en-GB"/>
        </w:rPr>
        <w:t xml:space="preserve">, but they </w:t>
      </w:r>
      <w:r w:rsidR="005148A6">
        <w:rPr>
          <w:lang w:val="en-GB"/>
        </w:rPr>
        <w:t xml:space="preserve">both prescribe </w:t>
      </w:r>
      <w:r w:rsidR="002D7546" w:rsidRPr="002D7546">
        <w:rPr>
          <w:lang w:val="en-GB"/>
        </w:rPr>
        <w:t>limits on the lawful</w:t>
      </w:r>
      <w:r w:rsidR="004F4FC0">
        <w:rPr>
          <w:lang w:val="en-GB"/>
        </w:rPr>
        <w:t xml:space="preserve"> and </w:t>
      </w:r>
      <w:r w:rsidR="002D7546" w:rsidRPr="002D7546">
        <w:rPr>
          <w:lang w:val="en-GB"/>
        </w:rPr>
        <w:t>permissible scope of an amnesty</w:t>
      </w:r>
      <w:r w:rsidR="002D7546" w:rsidRPr="002D7546">
        <w:rPr>
          <w:bCs/>
        </w:rPr>
        <w:t xml:space="preserve">. </w:t>
      </w:r>
      <w:r w:rsidR="009F27B5" w:rsidRPr="002D7546">
        <w:rPr>
          <w:bCs/>
        </w:rPr>
        <w:t>Under international law and under United Nations policy, amnesties are impermissible if they:</w:t>
      </w:r>
    </w:p>
    <w:p w:rsidR="009F27B5" w:rsidRPr="005049E9" w:rsidRDefault="009F27B5" w:rsidP="00CD5DD9">
      <w:pPr>
        <w:autoSpaceDE w:val="0"/>
        <w:autoSpaceDN w:val="0"/>
        <w:adjustRightInd w:val="0"/>
        <w:jc w:val="both"/>
        <w:rPr>
          <w:bCs/>
        </w:rPr>
      </w:pPr>
      <w:r w:rsidRPr="005049E9">
        <w:rPr>
          <w:bCs/>
        </w:rPr>
        <w:t xml:space="preserve">(a) Prevent prosecution of individuals who may be criminally responsible for </w:t>
      </w:r>
      <w:r w:rsidR="006D4437" w:rsidRPr="005049E9">
        <w:rPr>
          <w:bCs/>
        </w:rPr>
        <w:t>genocide</w:t>
      </w:r>
      <w:r w:rsidR="006D4437">
        <w:rPr>
          <w:bCs/>
        </w:rPr>
        <w:t>,</w:t>
      </w:r>
      <w:r w:rsidR="006D4437" w:rsidRPr="005049E9">
        <w:rPr>
          <w:bCs/>
        </w:rPr>
        <w:t xml:space="preserve"> </w:t>
      </w:r>
      <w:r w:rsidRPr="005049E9">
        <w:rPr>
          <w:bCs/>
        </w:rPr>
        <w:t xml:space="preserve">war crimes, crimes against humanity </w:t>
      </w:r>
      <w:r w:rsidR="00A33570">
        <w:rPr>
          <w:bCs/>
        </w:rPr>
        <w:t xml:space="preserve">(“international crimes”) </w:t>
      </w:r>
      <w:r w:rsidRPr="005049E9">
        <w:rPr>
          <w:bCs/>
        </w:rPr>
        <w:t xml:space="preserve">or </w:t>
      </w:r>
      <w:r w:rsidR="00A6043F">
        <w:rPr>
          <w:bCs/>
        </w:rPr>
        <w:t xml:space="preserve">other </w:t>
      </w:r>
      <w:r w:rsidRPr="005049E9">
        <w:rPr>
          <w:bCs/>
        </w:rPr>
        <w:t xml:space="preserve">gross violations of human rights, </w:t>
      </w:r>
      <w:r w:rsidR="00F0684F" w:rsidRPr="005049E9">
        <w:rPr>
          <w:bCs/>
        </w:rPr>
        <w:t>including gender-specifi</w:t>
      </w:r>
      <w:r w:rsidRPr="005049E9">
        <w:rPr>
          <w:bCs/>
        </w:rPr>
        <w:t>c violations;</w:t>
      </w:r>
      <w:r w:rsidR="006C0BF9">
        <w:rPr>
          <w:bCs/>
        </w:rPr>
        <w:t xml:space="preserve"> </w:t>
      </w:r>
      <w:r w:rsidR="00CF0128">
        <w:rPr>
          <w:bCs/>
        </w:rPr>
        <w:t>or</w:t>
      </w:r>
      <w:r w:rsidR="006C0BF9">
        <w:rPr>
          <w:bCs/>
        </w:rPr>
        <w:t xml:space="preserve"> </w:t>
      </w:r>
    </w:p>
    <w:p w:rsidR="00F0684F" w:rsidRDefault="009F27B5" w:rsidP="00CD5DD9">
      <w:pPr>
        <w:autoSpaceDE w:val="0"/>
        <w:autoSpaceDN w:val="0"/>
        <w:adjustRightInd w:val="0"/>
        <w:jc w:val="both"/>
        <w:rPr>
          <w:bCs/>
        </w:rPr>
      </w:pPr>
      <w:r w:rsidRPr="005049E9">
        <w:rPr>
          <w:bCs/>
        </w:rPr>
        <w:t xml:space="preserve">(b) </w:t>
      </w:r>
      <w:r w:rsidR="005254F9">
        <w:rPr>
          <w:bCs/>
        </w:rPr>
        <w:t xml:space="preserve">Violate the right of </w:t>
      </w:r>
      <w:r w:rsidRPr="005049E9">
        <w:rPr>
          <w:bCs/>
        </w:rPr>
        <w:t>victims to an effective remedy.</w:t>
      </w:r>
    </w:p>
    <w:p w:rsidR="006D4437" w:rsidRDefault="006D4437" w:rsidP="00CD5DD9">
      <w:pPr>
        <w:autoSpaceDE w:val="0"/>
        <w:autoSpaceDN w:val="0"/>
        <w:adjustRightInd w:val="0"/>
        <w:jc w:val="both"/>
        <w:rPr>
          <w:bCs/>
        </w:rPr>
      </w:pPr>
    </w:p>
    <w:p w:rsidR="0017289E" w:rsidRDefault="006D4437" w:rsidP="004D6669">
      <w:pPr>
        <w:autoSpaceDE w:val="0"/>
        <w:autoSpaceDN w:val="0"/>
        <w:adjustRightInd w:val="0"/>
        <w:jc w:val="both"/>
      </w:pPr>
      <w:r>
        <w:rPr>
          <w:bCs/>
        </w:rPr>
        <w:t>Genocide, war crimes and crimes against humanity are authoritatively defined in articles 6, 7 and 8 of the Rome Statute</w:t>
      </w:r>
      <w:r w:rsidR="00AF4A1A">
        <w:rPr>
          <w:bCs/>
        </w:rPr>
        <w:t xml:space="preserve"> </w:t>
      </w:r>
      <w:r>
        <w:rPr>
          <w:bCs/>
        </w:rPr>
        <w:t xml:space="preserve">for the International Criminal Court. </w:t>
      </w:r>
      <w:r w:rsidR="002C2981">
        <w:t>The category of g</w:t>
      </w:r>
      <w:r w:rsidR="00B7631A">
        <w:t xml:space="preserve">ross violations of human rights </w:t>
      </w:r>
      <w:r w:rsidR="00E12422">
        <w:t>is</w:t>
      </w:r>
      <w:r w:rsidR="00DB413B">
        <w:t xml:space="preserve"> widely recognized to </w:t>
      </w:r>
      <w:r w:rsidR="00B7631A">
        <w:t>include</w:t>
      </w:r>
      <w:r w:rsidR="000E6DCF">
        <w:t>: (</w:t>
      </w:r>
      <w:proofErr w:type="spellStart"/>
      <w:r w:rsidR="000E6DCF">
        <w:t>i</w:t>
      </w:r>
      <w:proofErr w:type="spellEnd"/>
      <w:r w:rsidR="000E6DCF">
        <w:t>)</w:t>
      </w:r>
      <w:r w:rsidR="00B7631A">
        <w:t xml:space="preserve"> </w:t>
      </w:r>
      <w:r w:rsidR="002C2981">
        <w:t>the non</w:t>
      </w:r>
      <w:r w:rsidR="00AF4A1A">
        <w:t>-</w:t>
      </w:r>
      <w:proofErr w:type="spellStart"/>
      <w:r w:rsidR="002C2981">
        <w:t>derogable</w:t>
      </w:r>
      <w:proofErr w:type="spellEnd"/>
      <w:r w:rsidR="002C2981">
        <w:t xml:space="preserve"> rights of the International Covenant </w:t>
      </w:r>
      <w:proofErr w:type="spellStart"/>
      <w:r w:rsidR="002C2981">
        <w:t>of</w:t>
      </w:r>
      <w:proofErr w:type="spellEnd"/>
      <w:r w:rsidR="002C2981">
        <w:t xml:space="preserve"> Civil and Political Rights as enumerated in article 4(2) and clarified by the</w:t>
      </w:r>
      <w:r w:rsidR="00013057">
        <w:t xml:space="preserve"> UN Human Rights Committee</w:t>
      </w:r>
      <w:r w:rsidR="00013057" w:rsidRPr="00065EE6">
        <w:t xml:space="preserve"> </w:t>
      </w:r>
      <w:r w:rsidR="002C2981">
        <w:t>in its General Comment 29</w:t>
      </w:r>
      <w:r w:rsidR="000E6DCF">
        <w:t>; (ii)</w:t>
      </w:r>
      <w:r w:rsidR="002C2981">
        <w:t xml:space="preserve"> the category of peremptory norms that cannot be subject to reservations as clarified by </w:t>
      </w:r>
      <w:r w:rsidR="009B09DD">
        <w:t xml:space="preserve">the Human Rights Committee in </w:t>
      </w:r>
      <w:r w:rsidR="002C2981">
        <w:t>General Comment 24</w:t>
      </w:r>
      <w:r w:rsidR="0043389C">
        <w:t xml:space="preserve">; </w:t>
      </w:r>
      <w:r w:rsidR="0010775D">
        <w:t xml:space="preserve">and </w:t>
      </w:r>
      <w:r w:rsidR="0043389C">
        <w:t xml:space="preserve">(iii) a number of minimum core obligations </w:t>
      </w:r>
      <w:r w:rsidR="002C2981">
        <w:t xml:space="preserve"> </w:t>
      </w:r>
      <w:r w:rsidR="0043389C">
        <w:t xml:space="preserve">as enumerated by the </w:t>
      </w:r>
      <w:r w:rsidR="00013057">
        <w:t xml:space="preserve">UN </w:t>
      </w:r>
      <w:r w:rsidR="00F063EB">
        <w:t>Committee on Economic, Social and Cultural Rights in its General Comment 3</w:t>
      </w:r>
      <w:r w:rsidR="004D6669">
        <w:t xml:space="preserve"> and affirmed in several following Comments including 12,13, 14, </w:t>
      </w:r>
      <w:r w:rsidR="004D6669" w:rsidRPr="004D6669">
        <w:t xml:space="preserve">15, 17, 18, 19, </w:t>
      </w:r>
      <w:r w:rsidR="004D6669">
        <w:t xml:space="preserve">and </w:t>
      </w:r>
      <w:r w:rsidR="004D6669" w:rsidRPr="004D6669">
        <w:t>21</w:t>
      </w:r>
      <w:r w:rsidR="00F063EB">
        <w:t xml:space="preserve">. </w:t>
      </w:r>
      <w:r w:rsidR="00F42533">
        <w:t xml:space="preserve"> </w:t>
      </w:r>
    </w:p>
    <w:p w:rsidR="0017289E" w:rsidRDefault="0017289E" w:rsidP="00CD5DD9">
      <w:pPr>
        <w:autoSpaceDE w:val="0"/>
        <w:autoSpaceDN w:val="0"/>
        <w:adjustRightInd w:val="0"/>
        <w:jc w:val="both"/>
      </w:pPr>
    </w:p>
    <w:p w:rsidR="00B7631A" w:rsidRDefault="0010775D" w:rsidP="00CD5DD9">
      <w:pPr>
        <w:autoSpaceDE w:val="0"/>
        <w:autoSpaceDN w:val="0"/>
        <w:adjustRightInd w:val="0"/>
        <w:jc w:val="both"/>
      </w:pPr>
      <w:r>
        <w:t>The category of g</w:t>
      </w:r>
      <w:r w:rsidR="00F063EB">
        <w:t>ross violations of human rights therefore include</w:t>
      </w:r>
      <w:r>
        <w:t>s</w:t>
      </w:r>
      <w:r w:rsidR="00F42533">
        <w:t xml:space="preserve"> </w:t>
      </w:r>
      <w:r w:rsidR="00D13462">
        <w:t xml:space="preserve">the following: </w:t>
      </w:r>
      <w:r w:rsidR="002C2981">
        <w:t>to</w:t>
      </w:r>
      <w:r w:rsidR="00D13462">
        <w:t xml:space="preserve"> engage in </w:t>
      </w:r>
      <w:r w:rsidR="00D13462" w:rsidRPr="00642C6D">
        <w:t>extrajudicial, summary or arbitrary executions</w:t>
      </w:r>
      <w:r w:rsidR="00D545D9">
        <w:t>;</w:t>
      </w:r>
      <w:r w:rsidR="00D13462">
        <w:t xml:space="preserve"> to </w:t>
      </w:r>
      <w:r w:rsidR="002C2981">
        <w:t>torture</w:t>
      </w:r>
      <w:r w:rsidR="00D545D9">
        <w:t>;</w:t>
      </w:r>
      <w:r w:rsidR="002C2981">
        <w:t xml:space="preserve"> to subject persons to cruel, inhuman or degrading treatment or punishment</w:t>
      </w:r>
      <w:r w:rsidR="00D545D9">
        <w:t>;</w:t>
      </w:r>
      <w:r w:rsidR="002C2981">
        <w:t xml:space="preserve"> to arbitrarily arrest and detain persons</w:t>
      </w:r>
      <w:r w:rsidR="00D545D9">
        <w:t>;</w:t>
      </w:r>
      <w:r w:rsidR="001B20DF">
        <w:t xml:space="preserve"> </w:t>
      </w:r>
      <w:r w:rsidR="0017289E">
        <w:t>to deny the right to a fair trial</w:t>
      </w:r>
      <w:r w:rsidR="000D5EE6">
        <w:t>, including to presume a person guilty unless he proves his innocence</w:t>
      </w:r>
      <w:r w:rsidR="00D545D9">
        <w:t>;</w:t>
      </w:r>
      <w:r w:rsidR="0017289E">
        <w:t xml:space="preserve"> </w:t>
      </w:r>
      <w:r w:rsidR="001B20DF">
        <w:t>to commit</w:t>
      </w:r>
      <w:r w:rsidR="001B20DF" w:rsidRPr="001B20DF">
        <w:t xml:space="preserve"> enforced disappearance</w:t>
      </w:r>
      <w:r w:rsidR="00C25198">
        <w:t>;</w:t>
      </w:r>
      <w:r w:rsidR="002C2981">
        <w:t xml:space="preserve"> to deny freedom of thought, conscience and religion</w:t>
      </w:r>
      <w:r w:rsidR="00C25198">
        <w:t>;</w:t>
      </w:r>
      <w:r w:rsidR="002C2981">
        <w:t xml:space="preserve"> to </w:t>
      </w:r>
      <w:r w:rsidR="002C2981">
        <w:lastRenderedPageBreak/>
        <w:t>execute pregnant women or children</w:t>
      </w:r>
      <w:r w:rsidR="00C25198">
        <w:t>;</w:t>
      </w:r>
      <w:r w:rsidR="002C2981">
        <w:t xml:space="preserve"> </w:t>
      </w:r>
      <w:r w:rsidR="00D13462">
        <w:t>to engage in slavery</w:t>
      </w:r>
      <w:r w:rsidR="00BA4EC6">
        <w:t>;</w:t>
      </w:r>
      <w:r w:rsidR="00D13462" w:rsidRPr="00CF20D1">
        <w:rPr>
          <w:lang w:val="en-GB"/>
        </w:rPr>
        <w:t xml:space="preserve"> </w:t>
      </w:r>
      <w:r w:rsidR="002C2981">
        <w:t>to permit the advocacy of national, racial or religious hatred</w:t>
      </w:r>
      <w:r w:rsidR="00BA4EC6">
        <w:t>;</w:t>
      </w:r>
      <w:r w:rsidR="002C2981">
        <w:t xml:space="preserve"> to deny to minorities the right to enjoy their own culture, profess their own religion, or use their own language</w:t>
      </w:r>
      <w:r w:rsidR="00BA4EC6">
        <w:t>; or</w:t>
      </w:r>
      <w:r w:rsidR="00ED4BED">
        <w:t>,</w:t>
      </w:r>
      <w:r w:rsidR="00BA4EC6">
        <w:t xml:space="preserve"> to </w:t>
      </w:r>
      <w:r w:rsidR="000E6DCF">
        <w:t xml:space="preserve">deprive </w:t>
      </w:r>
      <w:r w:rsidR="00BA4EC6">
        <w:t xml:space="preserve">one </w:t>
      </w:r>
      <w:r w:rsidR="000E6DCF">
        <w:t xml:space="preserve">of essential foodstuffs, essential primary health care, basic shelter and housing, or the </w:t>
      </w:r>
      <w:r w:rsidR="00BA4EC6">
        <w:t>most basic forms of education.</w:t>
      </w:r>
    </w:p>
    <w:p w:rsidR="004B2C9C" w:rsidRPr="006D4437" w:rsidRDefault="004B2C9C" w:rsidP="00CD5DD9">
      <w:pPr>
        <w:autoSpaceDE w:val="0"/>
        <w:autoSpaceDN w:val="0"/>
        <w:adjustRightInd w:val="0"/>
        <w:jc w:val="both"/>
        <w:rPr>
          <w:bCs/>
        </w:rPr>
      </w:pPr>
    </w:p>
    <w:p w:rsidR="00065EE6" w:rsidRPr="00065EE6" w:rsidRDefault="00065EE6" w:rsidP="002E352A">
      <w:pPr>
        <w:autoSpaceDE w:val="0"/>
        <w:autoSpaceDN w:val="0"/>
        <w:adjustRightInd w:val="0"/>
        <w:spacing w:after="240"/>
        <w:jc w:val="both"/>
      </w:pPr>
      <w:r w:rsidRPr="00065EE6">
        <w:t>States are obliged to ensure the investigation and prosecution of gross human rights violations</w:t>
      </w:r>
      <w:r w:rsidR="00D13462" w:rsidRPr="00D13462">
        <w:t xml:space="preserve"> </w:t>
      </w:r>
      <w:r w:rsidR="00D13462">
        <w:t>constituting crimes under international law</w:t>
      </w:r>
      <w:r w:rsidRPr="00065EE6">
        <w:t>. This is explicitly required by some human rights treaties, and under international humanitarian law for acts amounting to war crimes. The obligation to investigate and prosecute gross human rights violations also corresponds to the duty on States to ensure an effective remedy, which is clearly established in, for example, the International Covenant on Civil and Political Rights</w:t>
      </w:r>
      <w:r w:rsidR="00F7775E">
        <w:t xml:space="preserve"> </w:t>
      </w:r>
      <w:r w:rsidR="00F7775E" w:rsidRPr="00065EE6">
        <w:t>(article 2(3)(a))</w:t>
      </w:r>
      <w:r w:rsidRPr="00065EE6">
        <w:t>. Both the obligation to investigate and prosecute and the obligation to ensure an effective remedy also have customary international law status and are therefore binding on all States even if not party to the relevant instruments.</w:t>
      </w:r>
    </w:p>
    <w:p w:rsidR="006E0733" w:rsidRPr="00642C6D" w:rsidRDefault="00065EE6" w:rsidP="00CD5DD9">
      <w:pPr>
        <w:autoSpaceDE w:val="0"/>
        <w:autoSpaceDN w:val="0"/>
        <w:adjustRightInd w:val="0"/>
        <w:spacing w:after="240"/>
        <w:jc w:val="both"/>
        <w:rPr>
          <w:i/>
          <w:iCs/>
        </w:rPr>
      </w:pPr>
      <w:r w:rsidRPr="00065EE6">
        <w:t>An effective remedy encompasses both access to justice and reparation for harm suffered (</w:t>
      </w:r>
      <w:r w:rsidR="00A42F2E">
        <w:t>s</w:t>
      </w:r>
      <w:r w:rsidRPr="00065EE6">
        <w:t xml:space="preserve">ee, e.g. Basic Principles and Guidelines on the Right to a Remedy and Reparation). The </w:t>
      </w:r>
      <w:r w:rsidR="00013057">
        <w:t>Human Rights Committee</w:t>
      </w:r>
      <w:r w:rsidRPr="00065EE6">
        <w:t xml:space="preserve"> has interpreted article 2(3)(a) of </w:t>
      </w:r>
      <w:r w:rsidR="00D92152">
        <w:t xml:space="preserve">the </w:t>
      </w:r>
      <w:r w:rsidRPr="00065EE6">
        <w:t xml:space="preserve">Covenant to require States parties to take effective steps to investigate violations of human rights recognized as criminal and to bring to justice those who are responsible for these violations, as well as to provide an effective remedy to the victims. When gross violations of human rights have been committed, disciplinary and administrative remedies do not adequately satisfy the obligation on States to provide an effective remedy. In its </w:t>
      </w:r>
      <w:r w:rsidR="00D92152">
        <w:t>G</w:t>
      </w:r>
      <w:r w:rsidRPr="00065EE6">
        <w:t xml:space="preserve">eneral </w:t>
      </w:r>
      <w:r w:rsidR="00D92152">
        <w:t>C</w:t>
      </w:r>
      <w:r w:rsidRPr="00065EE6">
        <w:t xml:space="preserve">omment 31, the Human Rights </w:t>
      </w:r>
      <w:r>
        <w:t>Committee further</w:t>
      </w:r>
      <w:r w:rsidRPr="00065EE6">
        <w:t xml:space="preserve"> stated, “</w:t>
      </w:r>
      <w:r w:rsidRPr="00065EE6">
        <w:rPr>
          <w:i/>
          <w:iCs/>
        </w:rPr>
        <w:t>As with failure to investigate, failure to bring to justice perpetrators of such violations could in and of itself give rise to a separate breach of the Covenant.”</w:t>
      </w:r>
    </w:p>
    <w:p w:rsidR="001F0C96" w:rsidRPr="00D92152" w:rsidRDefault="00065EE6" w:rsidP="00CD5DD9">
      <w:pPr>
        <w:autoSpaceDE w:val="0"/>
        <w:autoSpaceDN w:val="0"/>
        <w:adjustRightInd w:val="0"/>
        <w:spacing w:after="240"/>
        <w:jc w:val="both"/>
      </w:pPr>
      <w:r w:rsidRPr="00065EE6">
        <w:t xml:space="preserve">In light of these international law obligations, </w:t>
      </w:r>
      <w:r w:rsidR="00FA4C66">
        <w:t>it</w:t>
      </w:r>
      <w:r w:rsidR="00D92152">
        <w:t xml:space="preserve"> </w:t>
      </w:r>
      <w:r w:rsidR="00714A3E">
        <w:t>is</w:t>
      </w:r>
      <w:r w:rsidR="006A524B">
        <w:t xml:space="preserve"> therefore</w:t>
      </w:r>
      <w:r w:rsidR="00714A3E">
        <w:t xml:space="preserve"> essential that </w:t>
      </w:r>
      <w:r w:rsidR="00FA4C66">
        <w:t>the scope of any amnesty</w:t>
      </w:r>
      <w:r w:rsidR="008A1016">
        <w:t xml:space="preserve"> law</w:t>
      </w:r>
      <w:r w:rsidR="00FA4C66">
        <w:t xml:space="preserve"> is defined </w:t>
      </w:r>
      <w:r w:rsidR="00F050F1">
        <w:t xml:space="preserve">clearly and </w:t>
      </w:r>
      <w:r w:rsidR="008E752F">
        <w:t xml:space="preserve">with </w:t>
      </w:r>
      <w:r w:rsidR="00F050F1">
        <w:t xml:space="preserve">certainty, particularly with respect to the </w:t>
      </w:r>
      <w:r w:rsidR="00040337">
        <w:t>conduct that will</w:t>
      </w:r>
      <w:r w:rsidR="003A4499">
        <w:t xml:space="preserve"> be</w:t>
      </w:r>
      <w:r w:rsidR="00040337">
        <w:t xml:space="preserve"> subject to amnesty. Further in this regard, an amnesty law must clearly exclude</w:t>
      </w:r>
      <w:r w:rsidR="002C7797">
        <w:t xml:space="preserve"> </w:t>
      </w:r>
      <w:r w:rsidR="002C7797" w:rsidRPr="00D201D7">
        <w:t>all categories of conduct that, under international law and United Nations policy, should be subject to investigation and, where the evidence warrants, prosecution</w:t>
      </w:r>
      <w:r w:rsidR="006555BD">
        <w:t xml:space="preserve">, and for which victims must receive prompt and effective remedy. </w:t>
      </w:r>
      <w:r w:rsidR="00040337">
        <w:t xml:space="preserve">As noted above, these categories of conduct are those that constitute international crimes (war crimes, crimes against humanity, </w:t>
      </w:r>
      <w:r w:rsidR="008A1016">
        <w:t>genocide</w:t>
      </w:r>
      <w:r w:rsidR="00040337">
        <w:t>) and other</w:t>
      </w:r>
      <w:r w:rsidR="003A4499">
        <w:t xml:space="preserve"> gross human rights violations</w:t>
      </w:r>
      <w:r w:rsidR="007D044E">
        <w:t>, including the gender-specific instances of these offences</w:t>
      </w:r>
      <w:r w:rsidR="00040337">
        <w:t>.</w:t>
      </w:r>
      <w:r w:rsidR="006E0733">
        <w:t xml:space="preserve"> </w:t>
      </w:r>
    </w:p>
    <w:p w:rsidR="009E55F3" w:rsidRDefault="002D7546" w:rsidP="00CD5DD9">
      <w:pPr>
        <w:jc w:val="both"/>
      </w:pPr>
      <w:r w:rsidRPr="002D7546">
        <w:t>For further information, please refer to</w:t>
      </w:r>
      <w:r w:rsidR="009E55F3">
        <w:t>:</w:t>
      </w:r>
      <w:r w:rsidRPr="002D7546">
        <w:t xml:space="preserve"> </w:t>
      </w:r>
    </w:p>
    <w:p w:rsidR="009E55F3" w:rsidRDefault="009E55F3" w:rsidP="00CD5DD9">
      <w:pPr>
        <w:jc w:val="both"/>
        <w:rPr>
          <w:i/>
          <w:iCs/>
        </w:rPr>
      </w:pPr>
    </w:p>
    <w:p w:rsidR="00B34037" w:rsidRPr="00B34037" w:rsidRDefault="00B34037" w:rsidP="00CD5DD9">
      <w:pPr>
        <w:jc w:val="both"/>
      </w:pPr>
      <w:r w:rsidRPr="00B34037">
        <w:rPr>
          <w:i/>
        </w:rPr>
        <w:t>Rule of Law Tools for Post-Conflict States, Amnesties</w:t>
      </w:r>
      <w:r>
        <w:t>, w</w:t>
      </w:r>
      <w:r w:rsidR="002D7546" w:rsidRPr="00B34037">
        <w:t>hich sets out international standards, guidance and examples from around the</w:t>
      </w:r>
      <w:r w:rsidRPr="00B34037">
        <w:t xml:space="preserve"> </w:t>
      </w:r>
      <w:r w:rsidR="002D7546" w:rsidRPr="00B34037">
        <w:t>world</w:t>
      </w:r>
      <w:r w:rsidRPr="00B34037">
        <w:t>:</w:t>
      </w:r>
    </w:p>
    <w:p w:rsidR="00B34037" w:rsidRPr="00B34037" w:rsidRDefault="00956453" w:rsidP="00CD5DD9">
      <w:pPr>
        <w:jc w:val="both"/>
      </w:pPr>
      <w:hyperlink r:id="rId7" w:history="1">
        <w:r w:rsidR="00B34037" w:rsidRPr="00A0113A">
          <w:rPr>
            <w:rStyle w:val="Hyperlink"/>
            <w:rFonts w:cs="Helv"/>
            <w:lang w:bidi="th-TH"/>
          </w:rPr>
          <w:t>http://www.ohchr.org/Documents/Publications/Amnesties_en.pdf</w:t>
        </w:r>
      </w:hyperlink>
    </w:p>
    <w:p w:rsidR="009E55F3" w:rsidRPr="007C5532" w:rsidRDefault="009E55F3" w:rsidP="00CD5DD9">
      <w:pPr>
        <w:jc w:val="both"/>
      </w:pPr>
    </w:p>
    <w:p w:rsidR="009E55F3" w:rsidRPr="00302908" w:rsidRDefault="00956453" w:rsidP="00CD5DD9">
      <w:pPr>
        <w:pStyle w:val="Heading2"/>
        <w:jc w:val="both"/>
        <w:rPr>
          <w:b w:val="0"/>
          <w:color w:val="000000"/>
          <w:sz w:val="24"/>
          <w:szCs w:val="24"/>
        </w:rPr>
      </w:pPr>
      <w:hyperlink r:id="rId8" w:history="1">
        <w:r w:rsidR="007C5532" w:rsidRPr="00302908">
          <w:rPr>
            <w:rStyle w:val="Hyperlink"/>
            <w:b w:val="0"/>
            <w:i/>
            <w:color w:val="000000"/>
            <w:sz w:val="24"/>
            <w:szCs w:val="24"/>
            <w:u w:val="none"/>
          </w:rPr>
          <w:t>Basic Principles and Guidelines on the Right to a Remedy and Reparation</w:t>
        </w:r>
      </w:hyperlink>
      <w:r w:rsidR="007C5532" w:rsidRPr="00302908">
        <w:rPr>
          <w:b w:val="0"/>
          <w:i/>
          <w:color w:val="000000"/>
          <w:sz w:val="24"/>
          <w:szCs w:val="24"/>
        </w:rPr>
        <w:t xml:space="preserve"> </w:t>
      </w:r>
      <w:r w:rsidR="009E55F3" w:rsidRPr="00302908">
        <w:rPr>
          <w:b w:val="0"/>
          <w:i/>
          <w:color w:val="000000"/>
          <w:sz w:val="24"/>
          <w:szCs w:val="24"/>
        </w:rPr>
        <w:t>for Victims of Gross Violations of International Human Rights Law and Serious Violations of International Humanitarian Law</w:t>
      </w:r>
      <w:r w:rsidR="00B34037" w:rsidRPr="00302908">
        <w:rPr>
          <w:b w:val="0"/>
          <w:color w:val="000000"/>
          <w:sz w:val="24"/>
          <w:szCs w:val="24"/>
        </w:rPr>
        <w:t>:</w:t>
      </w:r>
    </w:p>
    <w:p w:rsidR="00B67171" w:rsidRPr="00B34037" w:rsidRDefault="00956453" w:rsidP="00CD5DD9">
      <w:pPr>
        <w:autoSpaceDE w:val="0"/>
        <w:autoSpaceDN w:val="0"/>
        <w:adjustRightInd w:val="0"/>
        <w:jc w:val="both"/>
      </w:pPr>
      <w:hyperlink r:id="rId9" w:history="1">
        <w:r w:rsidR="00B34037" w:rsidRPr="00B34037">
          <w:rPr>
            <w:rStyle w:val="Hyperlink"/>
          </w:rPr>
          <w:t>http://www.ohchr.org/EN/ProfessionalInterest/Pages/RemedyAndReparation.aspx</w:t>
        </w:r>
      </w:hyperlink>
    </w:p>
    <w:p w:rsidR="00B34037" w:rsidRPr="00B34037" w:rsidRDefault="00B34037" w:rsidP="00CD5DD9">
      <w:pPr>
        <w:autoSpaceDE w:val="0"/>
        <w:autoSpaceDN w:val="0"/>
        <w:adjustRightInd w:val="0"/>
        <w:jc w:val="both"/>
      </w:pPr>
    </w:p>
    <w:p w:rsidR="00B67171" w:rsidRDefault="00B67171" w:rsidP="00CD5DD9">
      <w:pPr>
        <w:autoSpaceDE w:val="0"/>
        <w:autoSpaceDN w:val="0"/>
        <w:adjustRightInd w:val="0"/>
        <w:jc w:val="both"/>
        <w:rPr>
          <w:rFonts w:ascii="FrutigerLTStd-Light" w:hAnsi="FrutigerLTStd-Light" w:cs="FrutigerLTStd-Light"/>
          <w:sz w:val="19"/>
          <w:szCs w:val="19"/>
        </w:rPr>
      </w:pPr>
    </w:p>
    <w:p w:rsidR="001E4FB0" w:rsidRPr="001E4FB0" w:rsidRDefault="00D201D7" w:rsidP="001E4FB0">
      <w:pPr>
        <w:rPr>
          <w:lang w:val="en-GB"/>
        </w:rPr>
      </w:pPr>
      <w:r>
        <w:rPr>
          <w:lang w:val="en-GB"/>
        </w:rPr>
        <w:t>Geneva</w:t>
      </w:r>
      <w:r w:rsidR="00D8082D">
        <w:rPr>
          <w:lang w:val="en-GB"/>
        </w:rPr>
        <w:t>, 2</w:t>
      </w:r>
      <w:r w:rsidR="00CF20D1">
        <w:rPr>
          <w:lang w:val="en-GB"/>
        </w:rPr>
        <w:t>6</w:t>
      </w:r>
      <w:r>
        <w:rPr>
          <w:lang w:val="en-GB"/>
        </w:rPr>
        <w:t xml:space="preserve"> August 2013</w:t>
      </w:r>
    </w:p>
    <w:sectPr w:rsidR="001E4FB0" w:rsidRPr="001E4FB0" w:rsidSect="00D201D7">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FrutigerLTStd-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C01E6"/>
    <w:multiLevelType w:val="hybridMultilevel"/>
    <w:tmpl w:val="0458F8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F614EAD"/>
    <w:multiLevelType w:val="hybridMultilevel"/>
    <w:tmpl w:val="B590CE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7B5"/>
    <w:rsid w:val="000019FD"/>
    <w:rsid w:val="00001F9B"/>
    <w:rsid w:val="000104AB"/>
    <w:rsid w:val="00013057"/>
    <w:rsid w:val="000148C3"/>
    <w:rsid w:val="00026F39"/>
    <w:rsid w:val="00037880"/>
    <w:rsid w:val="00040337"/>
    <w:rsid w:val="00043015"/>
    <w:rsid w:val="0005592F"/>
    <w:rsid w:val="000613AD"/>
    <w:rsid w:val="00062E2B"/>
    <w:rsid w:val="00065163"/>
    <w:rsid w:val="00065EE6"/>
    <w:rsid w:val="00072739"/>
    <w:rsid w:val="00094985"/>
    <w:rsid w:val="000A6E3F"/>
    <w:rsid w:val="000B0BF5"/>
    <w:rsid w:val="000B49B6"/>
    <w:rsid w:val="000C350F"/>
    <w:rsid w:val="000D32B2"/>
    <w:rsid w:val="000D5EE6"/>
    <w:rsid w:val="000E1861"/>
    <w:rsid w:val="000E3F70"/>
    <w:rsid w:val="000E6DCF"/>
    <w:rsid w:val="000F128E"/>
    <w:rsid w:val="000F1C60"/>
    <w:rsid w:val="00101A1E"/>
    <w:rsid w:val="00106770"/>
    <w:rsid w:val="0010775D"/>
    <w:rsid w:val="00117B00"/>
    <w:rsid w:val="00126201"/>
    <w:rsid w:val="00127ADC"/>
    <w:rsid w:val="00130B54"/>
    <w:rsid w:val="00136D0E"/>
    <w:rsid w:val="00140499"/>
    <w:rsid w:val="00140FBF"/>
    <w:rsid w:val="0014356A"/>
    <w:rsid w:val="00155A1C"/>
    <w:rsid w:val="00162BC4"/>
    <w:rsid w:val="00167FF0"/>
    <w:rsid w:val="0017289E"/>
    <w:rsid w:val="00176A7A"/>
    <w:rsid w:val="00180A11"/>
    <w:rsid w:val="001815E4"/>
    <w:rsid w:val="00187D89"/>
    <w:rsid w:val="00192481"/>
    <w:rsid w:val="001949FF"/>
    <w:rsid w:val="001A341B"/>
    <w:rsid w:val="001B20DF"/>
    <w:rsid w:val="001B41D0"/>
    <w:rsid w:val="001B51E5"/>
    <w:rsid w:val="001B6C42"/>
    <w:rsid w:val="001C30BE"/>
    <w:rsid w:val="001C7D32"/>
    <w:rsid w:val="001D2B4A"/>
    <w:rsid w:val="001D3E37"/>
    <w:rsid w:val="001E0344"/>
    <w:rsid w:val="001E06D6"/>
    <w:rsid w:val="001E4545"/>
    <w:rsid w:val="001E4FB0"/>
    <w:rsid w:val="001E63F2"/>
    <w:rsid w:val="001F0C96"/>
    <w:rsid w:val="00213878"/>
    <w:rsid w:val="00227AB9"/>
    <w:rsid w:val="002311A6"/>
    <w:rsid w:val="002336C4"/>
    <w:rsid w:val="002430B9"/>
    <w:rsid w:val="00256AFB"/>
    <w:rsid w:val="00266AFC"/>
    <w:rsid w:val="0027728F"/>
    <w:rsid w:val="00282AB5"/>
    <w:rsid w:val="002A08CA"/>
    <w:rsid w:val="002B03F4"/>
    <w:rsid w:val="002B1120"/>
    <w:rsid w:val="002B798C"/>
    <w:rsid w:val="002C13C9"/>
    <w:rsid w:val="002C2981"/>
    <w:rsid w:val="002C3C2C"/>
    <w:rsid w:val="002C4087"/>
    <w:rsid w:val="002C7797"/>
    <w:rsid w:val="002D0E41"/>
    <w:rsid w:val="002D7546"/>
    <w:rsid w:val="002E352A"/>
    <w:rsid w:val="002E4C86"/>
    <w:rsid w:val="002F1D6F"/>
    <w:rsid w:val="002F40BC"/>
    <w:rsid w:val="00302908"/>
    <w:rsid w:val="003145B4"/>
    <w:rsid w:val="00323E96"/>
    <w:rsid w:val="003247BE"/>
    <w:rsid w:val="00331CFD"/>
    <w:rsid w:val="00333A2A"/>
    <w:rsid w:val="00335C61"/>
    <w:rsid w:val="0033762B"/>
    <w:rsid w:val="003418BE"/>
    <w:rsid w:val="003438D9"/>
    <w:rsid w:val="003560D0"/>
    <w:rsid w:val="00376D40"/>
    <w:rsid w:val="003771D4"/>
    <w:rsid w:val="00396901"/>
    <w:rsid w:val="003A4499"/>
    <w:rsid w:val="003B2D28"/>
    <w:rsid w:val="003B38AC"/>
    <w:rsid w:val="003B5DCB"/>
    <w:rsid w:val="003B623A"/>
    <w:rsid w:val="003C0347"/>
    <w:rsid w:val="003C4983"/>
    <w:rsid w:val="003D246A"/>
    <w:rsid w:val="003D4E4D"/>
    <w:rsid w:val="003D5081"/>
    <w:rsid w:val="003E5ECC"/>
    <w:rsid w:val="003F0A42"/>
    <w:rsid w:val="003F3A13"/>
    <w:rsid w:val="003F4C8E"/>
    <w:rsid w:val="003F5479"/>
    <w:rsid w:val="00400C51"/>
    <w:rsid w:val="00406C6A"/>
    <w:rsid w:val="00406E34"/>
    <w:rsid w:val="00416E07"/>
    <w:rsid w:val="004242C0"/>
    <w:rsid w:val="00430573"/>
    <w:rsid w:val="0043389C"/>
    <w:rsid w:val="0047490D"/>
    <w:rsid w:val="00480477"/>
    <w:rsid w:val="0048765F"/>
    <w:rsid w:val="00495D94"/>
    <w:rsid w:val="004A1859"/>
    <w:rsid w:val="004A1A04"/>
    <w:rsid w:val="004B268F"/>
    <w:rsid w:val="004B2C9C"/>
    <w:rsid w:val="004B4108"/>
    <w:rsid w:val="004C7243"/>
    <w:rsid w:val="004D5ACA"/>
    <w:rsid w:val="004D6281"/>
    <w:rsid w:val="004D6669"/>
    <w:rsid w:val="004E7B56"/>
    <w:rsid w:val="004F4FC0"/>
    <w:rsid w:val="005049E9"/>
    <w:rsid w:val="005148A6"/>
    <w:rsid w:val="00516462"/>
    <w:rsid w:val="005254F9"/>
    <w:rsid w:val="005264EB"/>
    <w:rsid w:val="00544B3E"/>
    <w:rsid w:val="00551BF5"/>
    <w:rsid w:val="005564AC"/>
    <w:rsid w:val="00565433"/>
    <w:rsid w:val="005671E5"/>
    <w:rsid w:val="00593DDA"/>
    <w:rsid w:val="00597212"/>
    <w:rsid w:val="005A1D9A"/>
    <w:rsid w:val="005B1909"/>
    <w:rsid w:val="005C0B6C"/>
    <w:rsid w:val="005C1F3A"/>
    <w:rsid w:val="005C686E"/>
    <w:rsid w:val="005D4D86"/>
    <w:rsid w:val="005D75CB"/>
    <w:rsid w:val="005F2D56"/>
    <w:rsid w:val="005F6775"/>
    <w:rsid w:val="00601B77"/>
    <w:rsid w:val="00623FAB"/>
    <w:rsid w:val="006243FA"/>
    <w:rsid w:val="00631C91"/>
    <w:rsid w:val="00632B9A"/>
    <w:rsid w:val="00633ABE"/>
    <w:rsid w:val="00634EFC"/>
    <w:rsid w:val="00642C6D"/>
    <w:rsid w:val="00646B04"/>
    <w:rsid w:val="006555BD"/>
    <w:rsid w:val="00670A62"/>
    <w:rsid w:val="00671C5E"/>
    <w:rsid w:val="00694929"/>
    <w:rsid w:val="0069625B"/>
    <w:rsid w:val="006979AA"/>
    <w:rsid w:val="006A524B"/>
    <w:rsid w:val="006A5E00"/>
    <w:rsid w:val="006B5F3C"/>
    <w:rsid w:val="006C05D0"/>
    <w:rsid w:val="006C0BF9"/>
    <w:rsid w:val="006C122C"/>
    <w:rsid w:val="006D4437"/>
    <w:rsid w:val="006D484C"/>
    <w:rsid w:val="006D5FD7"/>
    <w:rsid w:val="006D74C9"/>
    <w:rsid w:val="006E0733"/>
    <w:rsid w:val="006E4E8C"/>
    <w:rsid w:val="006E64DC"/>
    <w:rsid w:val="006F6D0A"/>
    <w:rsid w:val="00700B95"/>
    <w:rsid w:val="00702170"/>
    <w:rsid w:val="00705F5D"/>
    <w:rsid w:val="0071014B"/>
    <w:rsid w:val="00714A3E"/>
    <w:rsid w:val="00722E23"/>
    <w:rsid w:val="007263A9"/>
    <w:rsid w:val="007266E8"/>
    <w:rsid w:val="00727784"/>
    <w:rsid w:val="007317BC"/>
    <w:rsid w:val="00750386"/>
    <w:rsid w:val="00757FB8"/>
    <w:rsid w:val="00770401"/>
    <w:rsid w:val="00773F5D"/>
    <w:rsid w:val="00774AF5"/>
    <w:rsid w:val="007757F1"/>
    <w:rsid w:val="007935DD"/>
    <w:rsid w:val="007A1DF6"/>
    <w:rsid w:val="007B24D6"/>
    <w:rsid w:val="007C5532"/>
    <w:rsid w:val="007C7F85"/>
    <w:rsid w:val="007D044E"/>
    <w:rsid w:val="007D4A0A"/>
    <w:rsid w:val="007D6BB0"/>
    <w:rsid w:val="007E2D50"/>
    <w:rsid w:val="007F14FF"/>
    <w:rsid w:val="007F3835"/>
    <w:rsid w:val="007F7010"/>
    <w:rsid w:val="00806F3E"/>
    <w:rsid w:val="00807316"/>
    <w:rsid w:val="008111AC"/>
    <w:rsid w:val="00833EA7"/>
    <w:rsid w:val="008440FC"/>
    <w:rsid w:val="00844485"/>
    <w:rsid w:val="0084514D"/>
    <w:rsid w:val="00856A68"/>
    <w:rsid w:val="00872B0C"/>
    <w:rsid w:val="00875B38"/>
    <w:rsid w:val="008A1016"/>
    <w:rsid w:val="008A38AB"/>
    <w:rsid w:val="008B1429"/>
    <w:rsid w:val="008B717D"/>
    <w:rsid w:val="008C0727"/>
    <w:rsid w:val="008C17CE"/>
    <w:rsid w:val="008C3660"/>
    <w:rsid w:val="008D3220"/>
    <w:rsid w:val="008E2623"/>
    <w:rsid w:val="008E752F"/>
    <w:rsid w:val="008F7CBF"/>
    <w:rsid w:val="0090289B"/>
    <w:rsid w:val="00921C36"/>
    <w:rsid w:val="00923169"/>
    <w:rsid w:val="00925C83"/>
    <w:rsid w:val="00927C7C"/>
    <w:rsid w:val="00931504"/>
    <w:rsid w:val="0094399A"/>
    <w:rsid w:val="00950CAC"/>
    <w:rsid w:val="00951B4D"/>
    <w:rsid w:val="0095389C"/>
    <w:rsid w:val="00956453"/>
    <w:rsid w:val="00965BAE"/>
    <w:rsid w:val="009800C7"/>
    <w:rsid w:val="009837AC"/>
    <w:rsid w:val="009877F9"/>
    <w:rsid w:val="0099612F"/>
    <w:rsid w:val="009A1650"/>
    <w:rsid w:val="009B09DD"/>
    <w:rsid w:val="009C43B7"/>
    <w:rsid w:val="009D6C54"/>
    <w:rsid w:val="009E55F3"/>
    <w:rsid w:val="009E70E8"/>
    <w:rsid w:val="009F27B5"/>
    <w:rsid w:val="009F46BF"/>
    <w:rsid w:val="009F66F6"/>
    <w:rsid w:val="00A06E2C"/>
    <w:rsid w:val="00A0718C"/>
    <w:rsid w:val="00A305C7"/>
    <w:rsid w:val="00A31503"/>
    <w:rsid w:val="00A33570"/>
    <w:rsid w:val="00A422F8"/>
    <w:rsid w:val="00A42F2E"/>
    <w:rsid w:val="00A51942"/>
    <w:rsid w:val="00A6043F"/>
    <w:rsid w:val="00A64F74"/>
    <w:rsid w:val="00A65AB0"/>
    <w:rsid w:val="00A7308F"/>
    <w:rsid w:val="00A8239E"/>
    <w:rsid w:val="00A8427D"/>
    <w:rsid w:val="00A9561E"/>
    <w:rsid w:val="00AB2646"/>
    <w:rsid w:val="00AB685A"/>
    <w:rsid w:val="00AD1F5E"/>
    <w:rsid w:val="00AE02F0"/>
    <w:rsid w:val="00AE548D"/>
    <w:rsid w:val="00AE6529"/>
    <w:rsid w:val="00AE7222"/>
    <w:rsid w:val="00AF14FC"/>
    <w:rsid w:val="00AF448A"/>
    <w:rsid w:val="00AF4A1A"/>
    <w:rsid w:val="00B009C5"/>
    <w:rsid w:val="00B03142"/>
    <w:rsid w:val="00B13BD7"/>
    <w:rsid w:val="00B14AA9"/>
    <w:rsid w:val="00B161A0"/>
    <w:rsid w:val="00B16B39"/>
    <w:rsid w:val="00B17A03"/>
    <w:rsid w:val="00B21D71"/>
    <w:rsid w:val="00B34037"/>
    <w:rsid w:val="00B4001E"/>
    <w:rsid w:val="00B44C02"/>
    <w:rsid w:val="00B473F7"/>
    <w:rsid w:val="00B50465"/>
    <w:rsid w:val="00B515BF"/>
    <w:rsid w:val="00B53EF5"/>
    <w:rsid w:val="00B57006"/>
    <w:rsid w:val="00B67171"/>
    <w:rsid w:val="00B7631A"/>
    <w:rsid w:val="00B84DE6"/>
    <w:rsid w:val="00B916B7"/>
    <w:rsid w:val="00B949BD"/>
    <w:rsid w:val="00BA0F4B"/>
    <w:rsid w:val="00BA2C31"/>
    <w:rsid w:val="00BA4EC6"/>
    <w:rsid w:val="00BA7682"/>
    <w:rsid w:val="00BB6666"/>
    <w:rsid w:val="00BC13D5"/>
    <w:rsid w:val="00BC27DE"/>
    <w:rsid w:val="00BD6F47"/>
    <w:rsid w:val="00BE1539"/>
    <w:rsid w:val="00BF79CE"/>
    <w:rsid w:val="00C13078"/>
    <w:rsid w:val="00C161B0"/>
    <w:rsid w:val="00C25198"/>
    <w:rsid w:val="00C341CE"/>
    <w:rsid w:val="00C41955"/>
    <w:rsid w:val="00C44228"/>
    <w:rsid w:val="00C704BC"/>
    <w:rsid w:val="00C7232D"/>
    <w:rsid w:val="00C8377C"/>
    <w:rsid w:val="00CA6170"/>
    <w:rsid w:val="00CB7A32"/>
    <w:rsid w:val="00CC4AC1"/>
    <w:rsid w:val="00CD300F"/>
    <w:rsid w:val="00CD4439"/>
    <w:rsid w:val="00CD5DD9"/>
    <w:rsid w:val="00CD63D2"/>
    <w:rsid w:val="00CF0128"/>
    <w:rsid w:val="00CF20D1"/>
    <w:rsid w:val="00CF2428"/>
    <w:rsid w:val="00CF6FA8"/>
    <w:rsid w:val="00D13462"/>
    <w:rsid w:val="00D13B3C"/>
    <w:rsid w:val="00D16628"/>
    <w:rsid w:val="00D201D7"/>
    <w:rsid w:val="00D31C85"/>
    <w:rsid w:val="00D408BF"/>
    <w:rsid w:val="00D5418B"/>
    <w:rsid w:val="00D545D9"/>
    <w:rsid w:val="00D65910"/>
    <w:rsid w:val="00D714C3"/>
    <w:rsid w:val="00D8082D"/>
    <w:rsid w:val="00D80E62"/>
    <w:rsid w:val="00D85DF6"/>
    <w:rsid w:val="00D91491"/>
    <w:rsid w:val="00D92152"/>
    <w:rsid w:val="00DA289F"/>
    <w:rsid w:val="00DA317B"/>
    <w:rsid w:val="00DA5447"/>
    <w:rsid w:val="00DB413B"/>
    <w:rsid w:val="00DB65D3"/>
    <w:rsid w:val="00DC3BD7"/>
    <w:rsid w:val="00DD51B6"/>
    <w:rsid w:val="00DE2B02"/>
    <w:rsid w:val="00DE7E1E"/>
    <w:rsid w:val="00DF0825"/>
    <w:rsid w:val="00DF0874"/>
    <w:rsid w:val="00DF0AD5"/>
    <w:rsid w:val="00E04A5B"/>
    <w:rsid w:val="00E05251"/>
    <w:rsid w:val="00E10AE9"/>
    <w:rsid w:val="00E12422"/>
    <w:rsid w:val="00E13601"/>
    <w:rsid w:val="00E31C79"/>
    <w:rsid w:val="00E440B4"/>
    <w:rsid w:val="00E4414D"/>
    <w:rsid w:val="00E44FAB"/>
    <w:rsid w:val="00E54CE4"/>
    <w:rsid w:val="00E61F8A"/>
    <w:rsid w:val="00E64507"/>
    <w:rsid w:val="00E81FEA"/>
    <w:rsid w:val="00E96E38"/>
    <w:rsid w:val="00EC0A3E"/>
    <w:rsid w:val="00EC0E50"/>
    <w:rsid w:val="00ED4BED"/>
    <w:rsid w:val="00F04906"/>
    <w:rsid w:val="00F050F1"/>
    <w:rsid w:val="00F056D7"/>
    <w:rsid w:val="00F063EB"/>
    <w:rsid w:val="00F0684F"/>
    <w:rsid w:val="00F160C7"/>
    <w:rsid w:val="00F167AD"/>
    <w:rsid w:val="00F20909"/>
    <w:rsid w:val="00F32FCF"/>
    <w:rsid w:val="00F339E9"/>
    <w:rsid w:val="00F35F77"/>
    <w:rsid w:val="00F42533"/>
    <w:rsid w:val="00F427C5"/>
    <w:rsid w:val="00F53939"/>
    <w:rsid w:val="00F60D89"/>
    <w:rsid w:val="00F666F1"/>
    <w:rsid w:val="00F759C8"/>
    <w:rsid w:val="00F763E9"/>
    <w:rsid w:val="00F7775E"/>
    <w:rsid w:val="00F77B23"/>
    <w:rsid w:val="00F81740"/>
    <w:rsid w:val="00F90460"/>
    <w:rsid w:val="00F92EA8"/>
    <w:rsid w:val="00F95F38"/>
    <w:rsid w:val="00FA2F66"/>
    <w:rsid w:val="00FA4C66"/>
    <w:rsid w:val="00FC7092"/>
    <w:rsid w:val="00FD2027"/>
    <w:rsid w:val="00FF18D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lang w:val="en-US" w:eastAsia="en-US"/>
    </w:rPr>
  </w:style>
  <w:style w:type="paragraph" w:styleId="Heading2">
    <w:name w:val="heading 2"/>
    <w:basedOn w:val="Normal"/>
    <w:qFormat/>
    <w:rsid w:val="009E55F3"/>
    <w:pPr>
      <w:outlineLvl w:val="1"/>
    </w:pPr>
    <w:rPr>
      <w:b/>
      <w:bCs/>
      <w:color w:val="30303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7546"/>
    <w:rPr>
      <w:color w:val="0000FF"/>
      <w:u w:val="single"/>
    </w:rPr>
  </w:style>
  <w:style w:type="character" w:styleId="FollowedHyperlink">
    <w:name w:val="FollowedHyperlink"/>
    <w:rsid w:val="007C5532"/>
    <w:rPr>
      <w:color w:val="800080"/>
      <w:u w:val="single"/>
    </w:rPr>
  </w:style>
  <w:style w:type="paragraph" w:styleId="BalloonText">
    <w:name w:val="Balloon Text"/>
    <w:basedOn w:val="Normal"/>
    <w:semiHidden/>
    <w:rsid w:val="004F4FC0"/>
    <w:rPr>
      <w:rFonts w:ascii="Tahoma" w:hAnsi="Tahoma" w:cs="Tahoma"/>
      <w:sz w:val="16"/>
      <w:szCs w:val="16"/>
    </w:rPr>
  </w:style>
  <w:style w:type="character" w:styleId="CommentReference">
    <w:name w:val="annotation reference"/>
    <w:rsid w:val="006D484C"/>
    <w:rPr>
      <w:sz w:val="16"/>
      <w:szCs w:val="16"/>
    </w:rPr>
  </w:style>
  <w:style w:type="paragraph" w:styleId="CommentText">
    <w:name w:val="annotation text"/>
    <w:basedOn w:val="Normal"/>
    <w:link w:val="CommentTextChar"/>
    <w:rsid w:val="006D484C"/>
    <w:rPr>
      <w:rFonts w:cs="Times New Roman"/>
      <w:sz w:val="20"/>
      <w:szCs w:val="20"/>
    </w:rPr>
  </w:style>
  <w:style w:type="character" w:customStyle="1" w:styleId="CommentTextChar">
    <w:name w:val="Comment Text Char"/>
    <w:link w:val="CommentText"/>
    <w:rsid w:val="006D484C"/>
    <w:rPr>
      <w:rFonts w:ascii="Arial" w:hAnsi="Arial" w:cs="Arial"/>
      <w:color w:val="000000"/>
      <w:lang w:val="en-US" w:eastAsia="en-US"/>
    </w:rPr>
  </w:style>
  <w:style w:type="paragraph" w:styleId="CommentSubject">
    <w:name w:val="annotation subject"/>
    <w:basedOn w:val="CommentText"/>
    <w:next w:val="CommentText"/>
    <w:link w:val="CommentSubjectChar"/>
    <w:rsid w:val="006D484C"/>
    <w:rPr>
      <w:b/>
      <w:bCs/>
    </w:rPr>
  </w:style>
  <w:style w:type="character" w:customStyle="1" w:styleId="CommentSubjectChar">
    <w:name w:val="Comment Subject Char"/>
    <w:link w:val="CommentSubject"/>
    <w:rsid w:val="006D484C"/>
    <w:rPr>
      <w:rFonts w:ascii="Arial" w:hAnsi="Arial" w:cs="Arial"/>
      <w:b/>
      <w:bCs/>
      <w:color w:val="00000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color w:val="000000"/>
      <w:sz w:val="24"/>
      <w:szCs w:val="24"/>
      <w:lang w:val="en-US" w:eastAsia="en-US"/>
    </w:rPr>
  </w:style>
  <w:style w:type="paragraph" w:styleId="Heading2">
    <w:name w:val="heading 2"/>
    <w:basedOn w:val="Normal"/>
    <w:qFormat/>
    <w:rsid w:val="009E55F3"/>
    <w:pPr>
      <w:outlineLvl w:val="1"/>
    </w:pPr>
    <w:rPr>
      <w:b/>
      <w:bCs/>
      <w:color w:val="303030"/>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D7546"/>
    <w:rPr>
      <w:color w:val="0000FF"/>
      <w:u w:val="single"/>
    </w:rPr>
  </w:style>
  <w:style w:type="character" w:styleId="FollowedHyperlink">
    <w:name w:val="FollowedHyperlink"/>
    <w:rsid w:val="007C5532"/>
    <w:rPr>
      <w:color w:val="800080"/>
      <w:u w:val="single"/>
    </w:rPr>
  </w:style>
  <w:style w:type="paragraph" w:styleId="BalloonText">
    <w:name w:val="Balloon Text"/>
    <w:basedOn w:val="Normal"/>
    <w:semiHidden/>
    <w:rsid w:val="004F4FC0"/>
    <w:rPr>
      <w:rFonts w:ascii="Tahoma" w:hAnsi="Tahoma" w:cs="Tahoma"/>
      <w:sz w:val="16"/>
      <w:szCs w:val="16"/>
    </w:rPr>
  </w:style>
  <w:style w:type="character" w:styleId="CommentReference">
    <w:name w:val="annotation reference"/>
    <w:rsid w:val="006D484C"/>
    <w:rPr>
      <w:sz w:val="16"/>
      <w:szCs w:val="16"/>
    </w:rPr>
  </w:style>
  <w:style w:type="paragraph" w:styleId="CommentText">
    <w:name w:val="annotation text"/>
    <w:basedOn w:val="Normal"/>
    <w:link w:val="CommentTextChar"/>
    <w:rsid w:val="006D484C"/>
    <w:rPr>
      <w:rFonts w:cs="Times New Roman"/>
      <w:sz w:val="20"/>
      <w:szCs w:val="20"/>
    </w:rPr>
  </w:style>
  <w:style w:type="character" w:customStyle="1" w:styleId="CommentTextChar">
    <w:name w:val="Comment Text Char"/>
    <w:link w:val="CommentText"/>
    <w:rsid w:val="006D484C"/>
    <w:rPr>
      <w:rFonts w:ascii="Arial" w:hAnsi="Arial" w:cs="Arial"/>
      <w:color w:val="000000"/>
      <w:lang w:val="en-US" w:eastAsia="en-US"/>
    </w:rPr>
  </w:style>
  <w:style w:type="paragraph" w:styleId="CommentSubject">
    <w:name w:val="annotation subject"/>
    <w:basedOn w:val="CommentText"/>
    <w:next w:val="CommentText"/>
    <w:link w:val="CommentSubjectChar"/>
    <w:rsid w:val="006D484C"/>
    <w:rPr>
      <w:b/>
      <w:bCs/>
    </w:rPr>
  </w:style>
  <w:style w:type="character" w:customStyle="1" w:styleId="CommentSubjectChar">
    <w:name w:val="Comment Subject Char"/>
    <w:link w:val="CommentSubject"/>
    <w:rsid w:val="006D484C"/>
    <w:rPr>
      <w:rFonts w:ascii="Arial" w:hAnsi="Arial" w:cs="Arial"/>
      <w:b/>
      <w:bC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359452">
      <w:bodyDiv w:val="1"/>
      <w:marLeft w:val="0"/>
      <w:marRight w:val="0"/>
      <w:marTop w:val="0"/>
      <w:marBottom w:val="0"/>
      <w:divBdr>
        <w:top w:val="none" w:sz="0" w:space="0" w:color="auto"/>
        <w:left w:val="none" w:sz="0" w:space="0" w:color="auto"/>
        <w:bottom w:val="none" w:sz="0" w:space="0" w:color="auto"/>
        <w:right w:val="none" w:sz="0" w:space="0" w:color="auto"/>
      </w:divBdr>
      <w:divsChild>
        <w:div w:id="170947451">
          <w:marLeft w:val="0"/>
          <w:marRight w:val="0"/>
          <w:marTop w:val="0"/>
          <w:marBottom w:val="0"/>
          <w:divBdr>
            <w:top w:val="none" w:sz="0" w:space="0" w:color="auto"/>
            <w:left w:val="none" w:sz="0" w:space="0" w:color="auto"/>
            <w:bottom w:val="none" w:sz="0" w:space="0" w:color="auto"/>
            <w:right w:val="none" w:sz="0" w:space="0" w:color="auto"/>
          </w:divBdr>
          <w:divsChild>
            <w:div w:id="1549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hchr.org/EN/ProfessionalInterest/Pages/RemedyAndReparation.aspx" TargetMode="External"/><Relationship Id="rId3" Type="http://schemas.microsoft.com/office/2007/relationships/stylesWithEffects" Target="stylesWithEffects.xml"/><Relationship Id="rId7" Type="http://schemas.openxmlformats.org/officeDocument/2006/relationships/hyperlink" Target="http://www.ohchr.org/Documents/Publications/Amnesties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hchr.org/EN/ProfessionalInterest/Pages/RemedyAndRepar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6099</CharactersWithSpaces>
  <SharedDoc>false</SharedDoc>
  <HLinks>
    <vt:vector size="18" baseType="variant">
      <vt:variant>
        <vt:i4>6815859</vt:i4>
      </vt:variant>
      <vt:variant>
        <vt:i4>9</vt:i4>
      </vt:variant>
      <vt:variant>
        <vt:i4>0</vt:i4>
      </vt:variant>
      <vt:variant>
        <vt:i4>5</vt:i4>
      </vt:variant>
      <vt:variant>
        <vt:lpwstr>http://www.ohchr.org/EN/ProfessionalInterest/Pages/RemedyAndReparation.aspx</vt:lpwstr>
      </vt:variant>
      <vt:variant>
        <vt:lpwstr/>
      </vt:variant>
      <vt:variant>
        <vt:i4>6815859</vt:i4>
      </vt:variant>
      <vt:variant>
        <vt:i4>6</vt:i4>
      </vt:variant>
      <vt:variant>
        <vt:i4>0</vt:i4>
      </vt:variant>
      <vt:variant>
        <vt:i4>5</vt:i4>
      </vt:variant>
      <vt:variant>
        <vt:lpwstr>http://www.ohchr.org/EN/ProfessionalInterest/Pages/RemedyAndReparation.aspx</vt:lpwstr>
      </vt:variant>
      <vt:variant>
        <vt:lpwstr/>
      </vt:variant>
      <vt:variant>
        <vt:i4>2490460</vt:i4>
      </vt:variant>
      <vt:variant>
        <vt:i4>3</vt:i4>
      </vt:variant>
      <vt:variant>
        <vt:i4>0</vt:i4>
      </vt:variant>
      <vt:variant>
        <vt:i4>5</vt:i4>
      </vt:variant>
      <vt:variant>
        <vt:lpwstr>http://www.ohchr.org/Documents/Publications/Amnesties_en.pdf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Jeremy Laurence</cp:lastModifiedBy>
  <cp:revision>2</cp:revision>
  <cp:lastPrinted>2013-08-23T13:34:00Z</cp:lastPrinted>
  <dcterms:created xsi:type="dcterms:W3CDTF">2016-01-29T07:44:00Z</dcterms:created>
  <dcterms:modified xsi:type="dcterms:W3CDTF">2016-01-29T07:44:00Z</dcterms:modified>
</cp:coreProperties>
</file>